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18" w:rsidRDefault="00581F58" w:rsidP="00881B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</w:t>
      </w:r>
      <w:r w:rsidR="00881B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Начальная школа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1-4 классы</w:t>
      </w:r>
    </w:p>
    <w:p w:rsidR="00881B18" w:rsidRDefault="00881B18" w:rsidP="00881B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Аннотации к рабочим программам</w:t>
      </w:r>
    </w:p>
    <w:p w:rsidR="00881B18" w:rsidRPr="00581F58" w:rsidRDefault="00881B18" w:rsidP="00881B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58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58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Русский язык</w:t>
      </w:r>
    </w:p>
    <w:p w:rsidR="00881B18" w:rsidRPr="00581F58" w:rsidRDefault="00881B18" w:rsidP="00881B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58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</w:t>
      </w:r>
    </w:p>
    <w:tbl>
      <w:tblPr>
        <w:tblW w:w="0" w:type="auto"/>
        <w:tblCellSpacing w:w="15" w:type="dxa"/>
        <w:tblInd w:w="-239" w:type="dxa"/>
        <w:tblLook w:val="04A0"/>
      </w:tblPr>
      <w:tblGrid>
        <w:gridCol w:w="1100"/>
        <w:gridCol w:w="8503"/>
        <w:gridCol w:w="81"/>
      </w:tblGrid>
      <w:tr w:rsidR="00881B18" w:rsidTr="00881B18">
        <w:trPr>
          <w:trHeight w:val="35"/>
          <w:tblCellSpacing w:w="15" w:type="dxa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881B18" w:rsidTr="00881B18">
        <w:trPr>
          <w:tblCellSpacing w:w="15" w:type="dxa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В.П.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В.Г. Горецкого, М.Н. Дементьевой, Н.А.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М.В.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81B18" w:rsidTr="00881B18">
        <w:trPr>
          <w:tblCellSpacing w:w="15" w:type="dxa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по русскому языку разработана на основе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Целями изучения предмета «Русский язык» в начальной школе являются: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—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      </w:r>
            <w:proofErr w:type="gramEnd"/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18" w:rsidRPr="00581F58" w:rsidRDefault="00881B18" w:rsidP="0058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58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81B18" w:rsidTr="00881B18">
        <w:trPr>
          <w:tblCellSpacing w:w="15" w:type="dxa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  <w:p w:rsidR="00881B18" w:rsidRPr="00881B18" w:rsidRDefault="00881B18" w:rsidP="00881B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1B18">
              <w:rPr>
                <w:rFonts w:ascii="Times New Roman" w:hAnsi="Times New Roman" w:cs="Times New Roman"/>
                <w:sz w:val="20"/>
                <w:szCs w:val="20"/>
              </w:rPr>
              <w:t>Содержание рабочей программы полностью соответствует авторской программе   «Литературное чтение» Л.Ф Климановой и  В. Г. Горецкого.</w:t>
            </w:r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литературного чтения направлен на достижение следующих целей: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читательского кругозора и приобретение опыта в выборе книг и самостоятельной читательской деятельности;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—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      </w:r>
            <w:proofErr w:type="gramEnd"/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18" w:rsidRPr="00581F5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81B18" w:rsidTr="00881B18">
        <w:trPr>
          <w:tblCellSpacing w:w="15" w:type="dxa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по математике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      </w:r>
          </w:p>
          <w:p w:rsidR="00881B18" w:rsidRPr="00881B18" w:rsidRDefault="00881B18" w:rsidP="00881B1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81B18">
              <w:rPr>
                <w:rFonts w:ascii="Times New Roman" w:hAnsi="Times New Roman" w:cs="Times New Roman"/>
                <w:sz w:val="20"/>
                <w:szCs w:val="20"/>
              </w:rPr>
              <w:t xml:space="preserve">       Содержание рабочей программы полностью соответствует авторской программе   </w:t>
            </w:r>
            <w:r w:rsidRPr="00881B18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«Математика»  </w:t>
            </w:r>
            <w:r w:rsidRPr="00881B18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- </w:t>
            </w:r>
            <w:r w:rsidRPr="00881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М.И.Моро, Ю.М.Колягина, </w:t>
            </w:r>
            <w:proofErr w:type="spellStart"/>
            <w:r w:rsidRPr="00881B18">
              <w:rPr>
                <w:rFonts w:ascii="Times New Roman" w:hAnsi="Times New Roman" w:cs="Times New Roman"/>
                <w:bCs/>
                <w:sz w:val="20"/>
                <w:szCs w:val="20"/>
              </w:rPr>
              <w:t>М.А.Бантова</w:t>
            </w:r>
            <w:proofErr w:type="spellEnd"/>
            <w:r w:rsidRPr="00881B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81B18">
              <w:rPr>
                <w:rFonts w:ascii="Times New Roman" w:hAnsi="Times New Roman" w:cs="Times New Roman"/>
                <w:bCs/>
                <w:sz w:val="20"/>
                <w:szCs w:val="20"/>
              </w:rPr>
              <w:t>Г.В.Бельтюкова</w:t>
            </w:r>
            <w:proofErr w:type="spellEnd"/>
            <w:r w:rsidRPr="00881B18">
              <w:rPr>
                <w:rFonts w:ascii="Times New Roman" w:hAnsi="Times New Roman" w:cs="Times New Roman"/>
                <w:bCs/>
                <w:sz w:val="20"/>
                <w:szCs w:val="20"/>
              </w:rPr>
              <w:t>, С.И.Волкова, С.В.Степанова</w:t>
            </w:r>
            <w:r w:rsidRPr="00881B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Основными целями начального обучения математике являются: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— математическое развитие младшего школьника 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освоение начальных математических знаний — понимание значения величин и способов их измерения;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— развитие интереса к математике, стремления использовать математические знания в повседневной жизни. </w:t>
            </w:r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B18" w:rsidRPr="00581F5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Окружающий мир</w:t>
            </w:r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81B18" w:rsidTr="00881B18">
        <w:trPr>
          <w:tblCellSpacing w:w="15" w:type="dxa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      </w:r>
          </w:p>
          <w:p w:rsidR="00881B18" w:rsidRPr="00881B18" w:rsidRDefault="00881B18" w:rsidP="00881B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B1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рабочей программы полностью соответствует содержанию авторской учебного предмета «</w:t>
            </w:r>
            <w:r w:rsidRPr="00881B18">
              <w:rPr>
                <w:rFonts w:ascii="Times New Roman" w:hAnsi="Times New Roman"/>
                <w:sz w:val="20"/>
                <w:szCs w:val="20"/>
              </w:rPr>
              <w:t>Окружающий мир» А.А.Плешаков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окружающего мира направлено на достижение следующих целей: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      </w:r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B18" w:rsidRPr="00581F5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5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81B18" w:rsidTr="00881B18">
        <w:trPr>
          <w:tblCellSpacing w:w="15" w:type="dxa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  <w:p w:rsidR="00881B18" w:rsidRPr="00881B18" w:rsidRDefault="00881B18" w:rsidP="00881B1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B1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рабочей программы полностью соответствует авторской  программе «Технология»  </w:t>
            </w:r>
            <w:proofErr w:type="spellStart"/>
            <w:r w:rsidRPr="00881B18">
              <w:rPr>
                <w:rFonts w:ascii="Times New Roman" w:hAnsi="Times New Roman" w:cs="Times New Roman"/>
                <w:sz w:val="20"/>
                <w:szCs w:val="20"/>
              </w:rPr>
              <w:t>Н.И.Роговцевой</w:t>
            </w:r>
            <w:proofErr w:type="spellEnd"/>
            <w:r w:rsidRPr="00881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 изучения технологии в начальной школе: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Овладение технологическими знаниями и технико-технологическими умениями.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Освоение продуктивной проектной деятельности.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— Формирование позитивного эмоционально-ценностного отношения к труду и людям труда. </w:t>
            </w:r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18" w:rsidRPr="00581F5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81B18" w:rsidTr="00881B18">
        <w:trPr>
          <w:tblCellSpacing w:w="15" w:type="dxa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разработана с Федеральным государственным образовательным стандартом начального общего образования, примерной программой начального общего образования по музыке с учетом авторской программы по музыке «Музыка. Начальная школа» авторов: Е.Д. Критской, Г.П. Сергеевой, Т.С.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соответствии с Базисным учебным планом в начальных классах на учебный предмет «Музыка» отводится по 1 часу в неделю. Цель программы — воспитание у учеников эмоционально-ценностного отношения к искусству как части их общей духовной культуры,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движение, импровизация). </w:t>
            </w:r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B18" w:rsidRPr="00581F5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Искусство (</w:t>
            </w:r>
            <w:proofErr w:type="gramStart"/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81B18" w:rsidTr="00881B18">
        <w:trPr>
          <w:tblCellSpacing w:w="15" w:type="dxa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создана в соответствии с требованиями 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связей, логики учебного процесса и возрастных особенностей младших школьников. Программа разработана на основе авторской программы Б.М.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«Изобразительное искусство: 1-4 классы». </w:t>
            </w:r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1F5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881B18" w:rsidRPr="00581F58" w:rsidRDefault="0058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</w:t>
            </w:r>
            <w:r w:rsidR="0088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81B18"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81B18" w:rsidTr="00881B18">
        <w:trPr>
          <w:tblCellSpacing w:w="15" w:type="dxa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составлена на основе Федерального государственного образовательного стандарта начального общего образования, Примерной образовательной программы, Комплексной программы физического воспитания учащихся и ориентирована на использование учебно-методического комплекта В.И. Лях. Предметом обучения физической культуры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 </w:t>
            </w:r>
          </w:p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18" w:rsidRPr="00581F5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81B18" w:rsidTr="00881B18">
        <w:trPr>
          <w:tblCellSpacing w:w="15" w:type="dxa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 w:rsidP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программа составлена на основе требований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B18">
              <w:rPr>
                <w:rFonts w:ascii="Times New Roman" w:hAnsi="Times New Roman" w:cs="Times New Roman"/>
                <w:sz w:val="20"/>
                <w:szCs w:val="20"/>
              </w:rPr>
              <w:t xml:space="preserve">Данная рабочая программа по учебному предмету «Английский язык» разработана на основе авторской программы Ю. А. Комарова, И. В. Ларионова, Ж. </w:t>
            </w:r>
            <w:proofErr w:type="spellStart"/>
            <w:r w:rsidRPr="00881B18">
              <w:rPr>
                <w:rFonts w:ascii="Times New Roman" w:hAnsi="Times New Roman" w:cs="Times New Roman"/>
                <w:sz w:val="20"/>
                <w:szCs w:val="20"/>
              </w:rPr>
              <w:t>Перретт</w:t>
            </w:r>
            <w:proofErr w:type="spellEnd"/>
            <w:r w:rsidRPr="00881B18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«Программы курса «Английский язык»  2-4 классы». ФГОС Начальная инновационная школа.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курса: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формирование умений общаться на английском языке с учетом речевых возможностей и потребностей младших школьников;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— формирование коммуникативных умений в 4 основных видах речевой деятельности — говорении,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чтении и письме;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развитие личности, речевых способностей, внимания, мышления, памяти и воображения младшего школьника;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развитие мотивации к овладению английским языком;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обеспечение коммуникативно-психологической адаптации младших школьников к новому языковому миру;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приобщение детей к новому социальному опыту с использованием английского языка;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— формирование речевых, интеллектуальных и познавательных способностей младших школьников, а также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умений. </w:t>
            </w:r>
          </w:p>
          <w:p w:rsidR="00881B18" w:rsidRDefault="00881B18" w:rsidP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B18" w:rsidRPr="00581F58" w:rsidRDefault="00881B18" w:rsidP="00881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81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ОРКСЭ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81B18" w:rsidTr="00881B18">
        <w:trPr>
          <w:tblCellSpacing w:w="15" w:type="dxa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F58" w:rsidRDefault="00881B18" w:rsidP="0058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учебного курса ОРКСЭ: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культур. Курс, раскрывающий основы религиозных культур и светской этики, по месту в учебном плане, и по содержанию дополняет обществоведческие аспекты предмета «Окружающий мир», знакомит с нравственными идеалами и ценностями религиозных и светских духовных традиций России. Это происходит в контексте, отражающем глубинную связь прошлого и настоящего. Основное культурологическое понятие учебного курса — «российская религиозно-культурная традиция». </w:t>
            </w:r>
          </w:p>
          <w:p w:rsidR="00581F58" w:rsidRDefault="00581F58" w:rsidP="0058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ОРКСЭ представлен двумя</w:t>
            </w:r>
            <w:r w:rsidR="0088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модулями: </w:t>
            </w:r>
          </w:p>
          <w:p w:rsidR="00581F58" w:rsidRDefault="00881B18" w:rsidP="0058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58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«Основы </w:t>
            </w:r>
            <w:r w:rsidR="00581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православной культуры».</w:t>
            </w:r>
            <w:r w:rsidR="00581F58">
              <w:t xml:space="preserve"> </w:t>
            </w:r>
            <w:r w:rsidR="00581F58" w:rsidRPr="00581F58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581F58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православной культуры».  </w:t>
            </w:r>
            <w:r w:rsidR="00581F58" w:rsidRPr="00581F58">
              <w:rPr>
                <w:rFonts w:ascii="Times New Roman" w:hAnsi="Times New Roman" w:cs="Times New Roman"/>
                <w:sz w:val="20"/>
                <w:szCs w:val="20"/>
              </w:rPr>
              <w:t>Кураев А.В</w:t>
            </w:r>
            <w:r w:rsidR="00581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B18" w:rsidRDefault="00581F58" w:rsidP="0058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88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«Основы светской этики»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1F58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рабочей программы используется  учебно-методический  комплект «Школа России» и  учебник «Основы религиозных культур и светской этики. Основы светской этики» 4 класс. А.И. </w:t>
            </w:r>
            <w:proofErr w:type="spellStart"/>
            <w:r w:rsidRPr="00581F58">
              <w:rPr>
                <w:rFonts w:ascii="Times New Roman" w:hAnsi="Times New Roman" w:cs="Times New Roman"/>
                <w:sz w:val="20"/>
                <w:szCs w:val="20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B18" w:rsidRDefault="00881B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81B18" w:rsidRDefault="00881B18" w:rsidP="00881B18"/>
    <w:p w:rsidR="00D557AB" w:rsidRDefault="00D557AB"/>
    <w:sectPr w:rsidR="00D557AB" w:rsidSect="00D5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B18"/>
    <w:rsid w:val="0007017C"/>
    <w:rsid w:val="00581F58"/>
    <w:rsid w:val="00881B18"/>
    <w:rsid w:val="00D5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B18"/>
    <w:pPr>
      <w:spacing w:after="0" w:line="240" w:lineRule="auto"/>
    </w:pPr>
  </w:style>
  <w:style w:type="character" w:customStyle="1" w:styleId="c1">
    <w:name w:val="c1"/>
    <w:basedOn w:val="a0"/>
    <w:rsid w:val="00881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2020-03-14T11:04:00Z</dcterms:created>
  <dcterms:modified xsi:type="dcterms:W3CDTF">2020-03-14T11:24:00Z</dcterms:modified>
</cp:coreProperties>
</file>